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02F3" w:rsidRDefault="003102F3" w:rsidP="00603C59">
      <w:pPr>
        <w:pStyle w:val="Header"/>
        <w:jc w:val="center"/>
        <w:rPr>
          <w:rFonts w:ascii="Arial" w:hAnsi="Arial" w:cs="Arial"/>
          <w:sz w:val="8"/>
          <w:szCs w:val="8"/>
        </w:rPr>
      </w:pPr>
    </w:p>
    <w:p w:rsidR="00CD22E2" w:rsidRPr="009727AB" w:rsidRDefault="009727AB" w:rsidP="00603C59">
      <w:pPr>
        <w:pStyle w:val="Header"/>
        <w:jc w:val="center"/>
        <w:rPr>
          <w:rFonts w:ascii="Arial" w:hAnsi="Arial" w:cs="Arial"/>
          <w:sz w:val="20"/>
          <w:szCs w:val="20"/>
        </w:rPr>
      </w:pPr>
      <w:r w:rsidRPr="009727AB">
        <w:rPr>
          <w:rFonts w:ascii="Arial" w:hAnsi="Arial" w:cs="Arial"/>
          <w:sz w:val="20"/>
          <w:szCs w:val="20"/>
        </w:rPr>
        <w:t>GIG HARBOR</w:t>
      </w:r>
      <w:r w:rsidR="00CD22E2" w:rsidRPr="009727AB">
        <w:rPr>
          <w:rFonts w:ascii="Arial" w:hAnsi="Arial" w:cs="Arial"/>
          <w:sz w:val="20"/>
          <w:szCs w:val="20"/>
        </w:rPr>
        <w:t xml:space="preserve"> MUNICIPAL COURT</w:t>
      </w:r>
    </w:p>
    <w:p w:rsidR="003102F3" w:rsidRPr="009727AB" w:rsidRDefault="003102F3" w:rsidP="00603C59">
      <w:pPr>
        <w:pStyle w:val="Header"/>
        <w:jc w:val="center"/>
        <w:rPr>
          <w:rFonts w:ascii="Arial" w:hAnsi="Arial" w:cs="Arial"/>
          <w:b/>
          <w:sz w:val="24"/>
          <w:szCs w:val="24"/>
        </w:rPr>
      </w:pPr>
      <w:r w:rsidRPr="009727AB">
        <w:rPr>
          <w:rFonts w:ascii="Arial" w:hAnsi="Arial" w:cs="Arial"/>
          <w:b/>
          <w:sz w:val="24"/>
          <w:szCs w:val="24"/>
        </w:rPr>
        <w:t>Re</w:t>
      </w:r>
      <w:r w:rsidR="00E55B65">
        <w:rPr>
          <w:rFonts w:ascii="Arial" w:hAnsi="Arial" w:cs="Arial"/>
          <w:b/>
          <w:sz w:val="24"/>
          <w:szCs w:val="24"/>
        </w:rPr>
        <w:t>cords Exempted or Prohibited from Disclosure</w:t>
      </w:r>
    </w:p>
    <w:p w:rsidR="009727AB" w:rsidRDefault="00E55B65" w:rsidP="00603C59">
      <w:pPr>
        <w:pStyle w:val="Header"/>
        <w:pBdr>
          <w:bottom w:val="single" w:sz="4" w:space="1" w:color="auto"/>
        </w:pBdr>
        <w:jc w:val="center"/>
        <w:rPr>
          <w:rFonts w:ascii="Arial" w:hAnsi="Arial" w:cs="Arial"/>
          <w:sz w:val="20"/>
          <w:szCs w:val="20"/>
        </w:rPr>
      </w:pPr>
      <w:r>
        <w:rPr>
          <w:rFonts w:ascii="Arial" w:hAnsi="Arial" w:cs="Arial"/>
          <w:sz w:val="20"/>
          <w:szCs w:val="20"/>
        </w:rPr>
        <w:t xml:space="preserve">Court </w:t>
      </w:r>
      <w:r w:rsidR="009727AB" w:rsidRPr="009727AB">
        <w:rPr>
          <w:rFonts w:ascii="Arial" w:hAnsi="Arial" w:cs="Arial"/>
          <w:sz w:val="20"/>
          <w:szCs w:val="20"/>
        </w:rPr>
        <w:t>General Rule 31.1</w:t>
      </w:r>
    </w:p>
    <w:p w:rsidR="00603C59" w:rsidRPr="009727AB" w:rsidRDefault="00603C59" w:rsidP="00603C59">
      <w:pPr>
        <w:pStyle w:val="Header"/>
        <w:pBdr>
          <w:bottom w:val="single" w:sz="4" w:space="1" w:color="auto"/>
        </w:pBdr>
        <w:jc w:val="center"/>
        <w:rPr>
          <w:rFonts w:ascii="Arial" w:hAnsi="Arial" w:cs="Arial"/>
          <w:sz w:val="20"/>
          <w:szCs w:val="20"/>
        </w:rPr>
      </w:pPr>
    </w:p>
    <w:p w:rsidR="003102F3" w:rsidRDefault="003102F3" w:rsidP="00603C59">
      <w:pPr>
        <w:pStyle w:val="Header"/>
        <w:jc w:val="center"/>
        <w:rPr>
          <w:rFonts w:ascii="Arial" w:hAnsi="Arial" w:cs="Arial"/>
          <w:sz w:val="20"/>
          <w:szCs w:val="20"/>
        </w:rPr>
      </w:pPr>
    </w:p>
    <w:p w:rsidR="00E55B65" w:rsidRPr="00E55B65" w:rsidRDefault="00E55B65" w:rsidP="00603C59">
      <w:pPr>
        <w:pStyle w:val="Header"/>
        <w:jc w:val="center"/>
        <w:rPr>
          <w:rFonts w:ascii="Arial" w:hAnsi="Arial" w:cs="Arial"/>
          <w:b/>
          <w:sz w:val="20"/>
          <w:szCs w:val="20"/>
        </w:rPr>
      </w:pPr>
      <w:r w:rsidRPr="00E55B65">
        <w:rPr>
          <w:rFonts w:ascii="Arial" w:hAnsi="Arial" w:cs="Arial"/>
          <w:b/>
          <w:sz w:val="20"/>
          <w:szCs w:val="20"/>
        </w:rPr>
        <w:t>ADMINISTRATIVE RECORDS SPECIFICALLY EXPEMPTED UNDER GR 31.1</w:t>
      </w:r>
    </w:p>
    <w:p w:rsidR="003102F3" w:rsidRPr="00E55B65" w:rsidRDefault="003102F3" w:rsidP="003102F3">
      <w:pPr>
        <w:pStyle w:val="Header"/>
        <w:rPr>
          <w:rFonts w:ascii="Arial" w:hAnsi="Arial" w:cs="Arial"/>
          <w:sz w:val="20"/>
          <w:szCs w:val="20"/>
        </w:rPr>
      </w:pPr>
    </w:p>
    <w:p w:rsidR="00E55B65" w:rsidRPr="00E55B65" w:rsidRDefault="00E55B65" w:rsidP="00E55B65">
      <w:pPr>
        <w:spacing w:after="0" w:line="264" w:lineRule="auto"/>
        <w:rPr>
          <w:rFonts w:ascii="Arial" w:eastAsia="Calibri" w:hAnsi="Arial" w:cs="Arial"/>
          <w:b/>
          <w:i/>
          <w:color w:val="FF0000"/>
          <w:sz w:val="20"/>
          <w:szCs w:val="20"/>
        </w:rPr>
      </w:pPr>
      <w:r w:rsidRPr="00E55B65">
        <w:rPr>
          <w:rFonts w:ascii="Arial" w:eastAsia="Times New Roman" w:hAnsi="Arial" w:cs="Arial"/>
          <w:b/>
          <w:color w:val="000000"/>
          <w:sz w:val="20"/>
          <w:szCs w:val="20"/>
        </w:rPr>
        <w:t xml:space="preserve">(j)  </w:t>
      </w:r>
      <w:r w:rsidRPr="00E55B65">
        <w:rPr>
          <w:rFonts w:ascii="Arial" w:eastAsia="Times New Roman" w:hAnsi="Arial" w:cs="Arial"/>
          <w:b/>
          <w:color w:val="000000"/>
          <w:sz w:val="20"/>
          <w:szCs w:val="20"/>
        </w:rPr>
        <w:tab/>
        <w:t xml:space="preserve">Administrative Records—General Right of Access.  </w:t>
      </w:r>
      <w:r w:rsidRPr="00E55B65">
        <w:rPr>
          <w:rFonts w:ascii="Arial" w:eastAsia="Calibri" w:hAnsi="Arial" w:cs="Arial"/>
          <w:sz w:val="20"/>
          <w:szCs w:val="20"/>
        </w:rPr>
        <w:t>Court and judicial agency administrative records are open to public access</w:t>
      </w:r>
      <w:r w:rsidRPr="00E55B65">
        <w:rPr>
          <w:rFonts w:ascii="Arial" w:eastAsia="Calibri" w:hAnsi="Arial" w:cs="Arial"/>
          <w:b/>
          <w:sz w:val="20"/>
          <w:szCs w:val="20"/>
        </w:rPr>
        <w:t xml:space="preserve"> </w:t>
      </w:r>
      <w:r w:rsidRPr="00E55B65">
        <w:rPr>
          <w:rFonts w:ascii="Arial" w:eastAsia="Calibri" w:hAnsi="Arial" w:cs="Arial"/>
          <w:sz w:val="20"/>
          <w:szCs w:val="20"/>
        </w:rPr>
        <w:t>unless access is exempted or prohibited under this rule, other court rules, federal statutes, state statutes, court orders, or case law.  To the extent that records access would be exempt or prohibited if the Public Records Act applied to the judiciary’s administrative records, access is also exempt or prohibited under this rule. To the extent that an ambiguity exists as to whether records access would be exempt or prohibited under this rule or other enumerated sources, responders and reviewing authorities shall be guided by the Public Records Act, chapter 42.56 RCW, in making interpretations under this rule.  In addition, to the extent required to prevent a significant risk to individual privacy or safety interests, a court or judicial agency shall delete identifying details in a manner consistent with this rule when it makes available or publishes any public record; however, in each instance, the justification for the deletion shall be provided fully in writing.</w:t>
      </w:r>
      <w:r w:rsidRPr="00E55B65">
        <w:rPr>
          <w:rFonts w:ascii="Arial" w:eastAsia="Calibri" w:hAnsi="Arial" w:cs="Arial"/>
          <w:i/>
          <w:sz w:val="20"/>
          <w:szCs w:val="20"/>
        </w:rPr>
        <w:t xml:space="preserve"> </w:t>
      </w:r>
    </w:p>
    <w:p w:rsidR="00E55B65" w:rsidRPr="00E55B65" w:rsidRDefault="00E55B65" w:rsidP="00E55B65">
      <w:pPr>
        <w:spacing w:after="0" w:line="264" w:lineRule="auto"/>
        <w:rPr>
          <w:rFonts w:ascii="Arial" w:eastAsia="Times New Roman" w:hAnsi="Arial" w:cs="Arial"/>
          <w:b/>
          <w:color w:val="000000"/>
          <w:sz w:val="20"/>
          <w:szCs w:val="20"/>
        </w:rPr>
      </w:pPr>
    </w:p>
    <w:p w:rsidR="00E55B65" w:rsidRPr="00E55B65" w:rsidRDefault="00E55B65" w:rsidP="00E55B65">
      <w:pPr>
        <w:spacing w:after="0" w:line="264" w:lineRule="auto"/>
        <w:rPr>
          <w:rFonts w:ascii="Arial" w:eastAsia="Times New Roman" w:hAnsi="Arial" w:cs="Arial"/>
          <w:color w:val="000000"/>
          <w:sz w:val="20"/>
          <w:szCs w:val="20"/>
        </w:rPr>
      </w:pPr>
      <w:bookmarkStart w:id="0" w:name="_GoBack"/>
      <w:bookmarkEnd w:id="0"/>
      <w:r w:rsidRPr="00E55B65">
        <w:rPr>
          <w:rFonts w:ascii="Arial" w:eastAsia="Times New Roman" w:hAnsi="Arial" w:cs="Arial"/>
          <w:b/>
          <w:color w:val="000000"/>
          <w:sz w:val="20"/>
          <w:szCs w:val="20"/>
        </w:rPr>
        <w:t xml:space="preserve">(l)  </w:t>
      </w:r>
      <w:r w:rsidRPr="00E55B65">
        <w:rPr>
          <w:rFonts w:ascii="Arial" w:eastAsia="Times New Roman" w:hAnsi="Arial" w:cs="Arial"/>
          <w:b/>
          <w:color w:val="000000"/>
          <w:sz w:val="20"/>
          <w:szCs w:val="20"/>
        </w:rPr>
        <w:tab/>
        <w:t>Exemptions.</w:t>
      </w:r>
      <w:r w:rsidRPr="00E55B65">
        <w:rPr>
          <w:rFonts w:ascii="Arial" w:eastAsia="Times New Roman" w:hAnsi="Arial" w:cs="Arial"/>
          <w:color w:val="000000"/>
          <w:sz w:val="20"/>
          <w:szCs w:val="20"/>
        </w:rPr>
        <w:t xml:space="preserve">  In addition to </w:t>
      </w:r>
      <w:r w:rsidRPr="00E55B65">
        <w:rPr>
          <w:rFonts w:ascii="Arial" w:eastAsia="Times New Roman" w:hAnsi="Arial" w:cs="Arial"/>
          <w:sz w:val="20"/>
          <w:szCs w:val="20"/>
        </w:rPr>
        <w:t>exemptions referred to in section (j), the</w:t>
      </w:r>
      <w:r w:rsidRPr="00E55B65">
        <w:rPr>
          <w:rFonts w:ascii="Arial" w:eastAsia="Times New Roman" w:hAnsi="Arial" w:cs="Arial"/>
          <w:color w:val="000000"/>
          <w:sz w:val="20"/>
          <w:szCs w:val="20"/>
        </w:rPr>
        <w:t xml:space="preserve"> following categories of administrative records are exempt from public access:</w:t>
      </w:r>
    </w:p>
    <w:p w:rsidR="00E55B65" w:rsidRPr="00E55B65" w:rsidRDefault="00E55B65" w:rsidP="00E55B65">
      <w:pPr>
        <w:spacing w:after="0" w:line="264" w:lineRule="auto"/>
        <w:rPr>
          <w:rFonts w:ascii="Arial" w:eastAsia="Times New Roman" w:hAnsi="Arial" w:cs="Arial"/>
          <w:color w:val="000000"/>
          <w:sz w:val="20"/>
          <w:szCs w:val="20"/>
        </w:rPr>
      </w:pPr>
    </w:p>
    <w:p w:rsidR="00E55B65" w:rsidRPr="00E55B65" w:rsidRDefault="00E55B65" w:rsidP="00E55B65">
      <w:pPr>
        <w:numPr>
          <w:ilvl w:val="0"/>
          <w:numId w:val="4"/>
        </w:numPr>
        <w:spacing w:after="0" w:line="264" w:lineRule="auto"/>
        <w:ind w:left="1440"/>
        <w:rPr>
          <w:rFonts w:ascii="Arial" w:eastAsia="Times New Roman" w:hAnsi="Arial" w:cs="Arial"/>
          <w:color w:val="000000"/>
          <w:sz w:val="20"/>
          <w:szCs w:val="20"/>
        </w:rPr>
      </w:pPr>
      <w:r w:rsidRPr="00E55B65">
        <w:rPr>
          <w:rFonts w:ascii="Arial" w:eastAsia="Times New Roman" w:hAnsi="Arial" w:cs="Arial"/>
          <w:color w:val="000000"/>
          <w:sz w:val="20"/>
          <w:szCs w:val="20"/>
        </w:rPr>
        <w:t xml:space="preserve"> Requests for judicial ethics opinions;</w:t>
      </w:r>
    </w:p>
    <w:p w:rsidR="00E55B65" w:rsidRPr="00E55B65" w:rsidRDefault="00E55B65" w:rsidP="00E55B65">
      <w:pPr>
        <w:spacing w:after="0" w:line="264" w:lineRule="auto"/>
        <w:ind w:left="720"/>
        <w:rPr>
          <w:rFonts w:ascii="Arial" w:eastAsia="Times New Roman" w:hAnsi="Arial" w:cs="Arial"/>
          <w:color w:val="000000"/>
          <w:sz w:val="20"/>
          <w:szCs w:val="20"/>
        </w:rPr>
      </w:pPr>
    </w:p>
    <w:p w:rsidR="00E55B65" w:rsidRPr="00E55B65" w:rsidRDefault="00E55B65" w:rsidP="00E55B65">
      <w:pPr>
        <w:numPr>
          <w:ilvl w:val="0"/>
          <w:numId w:val="4"/>
        </w:numPr>
        <w:spacing w:after="0" w:line="264" w:lineRule="auto"/>
        <w:ind w:left="1440"/>
        <w:rPr>
          <w:rFonts w:ascii="Arial" w:eastAsia="Times New Roman" w:hAnsi="Arial" w:cs="Arial"/>
          <w:color w:val="000000"/>
          <w:sz w:val="20"/>
          <w:szCs w:val="20"/>
        </w:rPr>
      </w:pPr>
      <w:r w:rsidRPr="00E55B65">
        <w:rPr>
          <w:rFonts w:ascii="Arial" w:eastAsia="Times New Roman" w:hAnsi="Arial" w:cs="Arial"/>
          <w:color w:val="000000"/>
          <w:sz w:val="20"/>
          <w:szCs w:val="20"/>
        </w:rPr>
        <w:t>Minutes of meetings held exclusively among judges, along with any staff;</w:t>
      </w:r>
    </w:p>
    <w:p w:rsidR="00E55B65" w:rsidRPr="00E55B65" w:rsidRDefault="00E55B65" w:rsidP="00E55B65">
      <w:pPr>
        <w:spacing w:after="0" w:line="264" w:lineRule="auto"/>
        <w:ind w:left="720"/>
        <w:rPr>
          <w:rFonts w:ascii="Arial" w:eastAsia="Times New Roman" w:hAnsi="Arial" w:cs="Arial"/>
          <w:color w:val="000000"/>
          <w:sz w:val="20"/>
          <w:szCs w:val="20"/>
        </w:rPr>
      </w:pPr>
    </w:p>
    <w:p w:rsidR="00E55B65" w:rsidRPr="00E55B65" w:rsidRDefault="00E55B65" w:rsidP="00E55B65">
      <w:pPr>
        <w:spacing w:after="0" w:line="264" w:lineRule="auto"/>
        <w:ind w:left="2160"/>
        <w:rPr>
          <w:rFonts w:ascii="Arial" w:eastAsia="Calibri" w:hAnsi="Arial" w:cs="Arial"/>
          <w:sz w:val="20"/>
          <w:szCs w:val="20"/>
        </w:rPr>
      </w:pPr>
      <w:r w:rsidRPr="00E55B65">
        <w:rPr>
          <w:rFonts w:ascii="Arial" w:eastAsia="Calibri" w:hAnsi="Arial" w:cs="Arial"/>
          <w:sz w:val="20"/>
          <w:szCs w:val="20"/>
        </w:rPr>
        <w:t>COMMENT: Meeting minutes do not always contain information that needs to be withheld from public access.  Courts have discretion whether to release meeting minutes, because an exemption from this rule merely means that a document is not required to be disclosed. Disclosure would be appropriate if the document does not contain information of a confidential, sensitive, or protected nature.  Courts and judicial agencies are encouraged to carefully consider whether some, or all, of their meeting minutes should be open to public access.  Adopting a local rule on this issue would assist the public in knowing which types of minutes are accessible and which are not.</w:t>
      </w:r>
    </w:p>
    <w:p w:rsidR="00E55B65" w:rsidRPr="00E55B65" w:rsidRDefault="00E55B65" w:rsidP="00E55B65">
      <w:pPr>
        <w:spacing w:after="0" w:line="264" w:lineRule="auto"/>
        <w:ind w:left="2160"/>
        <w:rPr>
          <w:rFonts w:ascii="Arial" w:eastAsia="Calibri" w:hAnsi="Arial" w:cs="Arial"/>
          <w:b/>
          <w:i/>
          <w:sz w:val="20"/>
          <w:szCs w:val="20"/>
        </w:rPr>
      </w:pPr>
    </w:p>
    <w:p w:rsidR="00E55B65" w:rsidRPr="00E55B65" w:rsidRDefault="00E55B65" w:rsidP="00E55B65">
      <w:pPr>
        <w:numPr>
          <w:ilvl w:val="0"/>
          <w:numId w:val="4"/>
        </w:numPr>
        <w:spacing w:after="0" w:line="264" w:lineRule="auto"/>
        <w:ind w:left="1440"/>
        <w:rPr>
          <w:rFonts w:ascii="Arial" w:eastAsia="Times New Roman" w:hAnsi="Arial" w:cs="Arial"/>
          <w:color w:val="000000"/>
          <w:sz w:val="20"/>
          <w:szCs w:val="20"/>
        </w:rPr>
      </w:pPr>
      <w:r w:rsidRPr="00E55B65">
        <w:rPr>
          <w:rFonts w:ascii="Arial" w:eastAsia="Times New Roman" w:hAnsi="Arial" w:cs="Arial"/>
          <w:color w:val="000000"/>
          <w:sz w:val="20"/>
          <w:szCs w:val="20"/>
        </w:rPr>
        <w:t xml:space="preserve"> Preliminary drafts, notes, recommendations, and intra-agency memorandums in which opinions are expressed or policies formulated or recommended are exempt under this rule, except that a specific record is not exempt when publicly cited by a court or agency in connection with any court or agency action. This exemption applies to a record only while a final decision is pending on the issue that is being addressed in that record; once the final decision has been made, the record is no longer covered by this exemption.  For purposes of documents related to budget negotiations with a budgetary authority, the “final decision” is the decision by the budgetary authority to adopt the budget for that year or biennium.</w:t>
      </w:r>
    </w:p>
    <w:p w:rsidR="00E55B65" w:rsidRPr="00E55B65" w:rsidRDefault="00E55B65" w:rsidP="00E55B65">
      <w:pPr>
        <w:spacing w:after="0" w:line="264" w:lineRule="auto"/>
        <w:ind w:left="1440" w:hanging="720"/>
        <w:rPr>
          <w:rFonts w:ascii="Arial" w:eastAsia="Times New Roman" w:hAnsi="Arial" w:cs="Arial"/>
          <w:color w:val="000000"/>
          <w:sz w:val="20"/>
          <w:szCs w:val="20"/>
        </w:rPr>
      </w:pPr>
    </w:p>
    <w:p w:rsidR="00E55B65" w:rsidRPr="00E55B65" w:rsidRDefault="00E55B65" w:rsidP="00E55B65">
      <w:pPr>
        <w:numPr>
          <w:ilvl w:val="0"/>
          <w:numId w:val="4"/>
        </w:numPr>
        <w:spacing w:after="0" w:line="264" w:lineRule="auto"/>
        <w:ind w:left="1440"/>
        <w:rPr>
          <w:rFonts w:ascii="Arial" w:eastAsia="Times New Roman" w:hAnsi="Arial" w:cs="Arial"/>
          <w:color w:val="000000"/>
          <w:sz w:val="20"/>
          <w:szCs w:val="20"/>
        </w:rPr>
      </w:pPr>
      <w:r w:rsidRPr="00E55B65">
        <w:rPr>
          <w:rFonts w:ascii="Arial" w:eastAsia="Times New Roman" w:hAnsi="Arial" w:cs="Arial"/>
          <w:color w:val="000000"/>
          <w:sz w:val="20"/>
          <w:szCs w:val="20"/>
        </w:rPr>
        <w:t>Evaluations and recommendations concerning candidates seeking appointment or employment within a court or judicial agency;</w:t>
      </w:r>
    </w:p>
    <w:p w:rsidR="00E55B65" w:rsidRPr="00E55B65" w:rsidRDefault="00E55B65" w:rsidP="00E55B65">
      <w:pPr>
        <w:spacing w:after="0" w:line="264" w:lineRule="auto"/>
        <w:ind w:left="1440" w:hanging="720"/>
        <w:rPr>
          <w:rFonts w:ascii="Arial" w:eastAsia="Times New Roman" w:hAnsi="Arial" w:cs="Arial"/>
          <w:color w:val="000000"/>
          <w:sz w:val="20"/>
          <w:szCs w:val="20"/>
        </w:rPr>
      </w:pPr>
    </w:p>
    <w:p w:rsidR="00E55B65" w:rsidRPr="00E55B65" w:rsidRDefault="00E55B65" w:rsidP="00E55B65">
      <w:pPr>
        <w:spacing w:after="0" w:line="264" w:lineRule="auto"/>
        <w:ind w:left="2160"/>
        <w:rPr>
          <w:rFonts w:ascii="Arial" w:eastAsia="Times New Roman" w:hAnsi="Arial" w:cs="Arial"/>
          <w:color w:val="000000"/>
          <w:sz w:val="20"/>
          <w:szCs w:val="20"/>
        </w:rPr>
      </w:pPr>
      <w:r w:rsidRPr="00E55B65">
        <w:rPr>
          <w:rFonts w:ascii="Arial" w:eastAsia="Times New Roman" w:hAnsi="Arial" w:cs="Arial"/>
          <w:color w:val="000000"/>
          <w:sz w:val="20"/>
          <w:szCs w:val="20"/>
        </w:rPr>
        <w:t xml:space="preserve">COMMENT: </w:t>
      </w:r>
      <w:r w:rsidRPr="00E55B65">
        <w:rPr>
          <w:rFonts w:ascii="Arial" w:eastAsia="Times New Roman" w:hAnsi="Arial" w:cs="Arial"/>
          <w:sz w:val="20"/>
          <w:szCs w:val="20"/>
        </w:rPr>
        <w:t>Paragraph</w:t>
      </w:r>
      <w:r w:rsidRPr="00E55B65">
        <w:rPr>
          <w:rFonts w:ascii="Arial" w:eastAsia="Times New Roman" w:hAnsi="Arial" w:cs="Arial"/>
          <w:color w:val="000000"/>
          <w:sz w:val="20"/>
          <w:szCs w:val="20"/>
        </w:rPr>
        <w:t xml:space="preserve"> (4) is intended to encompass documents such as those of the Supreme Court’s Capital Counsel Committee, which evaluates attorneys for potential inclusion on a list of attorneys who are specially qualified to represent clients in capital cases.</w:t>
      </w:r>
    </w:p>
    <w:p w:rsidR="00E55B65" w:rsidRPr="00E55B65" w:rsidRDefault="00E55B65" w:rsidP="00E55B65">
      <w:pPr>
        <w:spacing w:after="0" w:line="264" w:lineRule="auto"/>
        <w:ind w:left="2160"/>
        <w:rPr>
          <w:rFonts w:ascii="Arial" w:eastAsia="Times New Roman" w:hAnsi="Arial" w:cs="Arial"/>
          <w:color w:val="000000"/>
          <w:sz w:val="20"/>
          <w:szCs w:val="20"/>
        </w:rPr>
      </w:pPr>
    </w:p>
    <w:p w:rsidR="00E55B65" w:rsidRPr="00E55B65" w:rsidRDefault="00E55B65" w:rsidP="00E55B65">
      <w:pPr>
        <w:numPr>
          <w:ilvl w:val="0"/>
          <w:numId w:val="4"/>
        </w:numPr>
        <w:spacing w:after="0" w:line="264" w:lineRule="auto"/>
        <w:ind w:left="1440"/>
        <w:rPr>
          <w:rFonts w:ascii="Arial" w:eastAsia="Times New Roman" w:hAnsi="Arial" w:cs="Arial"/>
          <w:color w:val="000000"/>
          <w:sz w:val="20"/>
          <w:szCs w:val="20"/>
        </w:rPr>
      </w:pPr>
      <w:r w:rsidRPr="00E55B65">
        <w:rPr>
          <w:rFonts w:ascii="Arial" w:eastAsia="Times New Roman" w:hAnsi="Arial" w:cs="Arial"/>
          <w:color w:val="000000"/>
          <w:sz w:val="20"/>
          <w:szCs w:val="20"/>
        </w:rPr>
        <w:t>Personal identifying information, including individuals’ home contact information, Social Security numbers, date of birth, driver’s license numbers, and identification/security photographs;</w:t>
      </w:r>
    </w:p>
    <w:p w:rsidR="00E55B65" w:rsidRPr="00E55B65" w:rsidRDefault="00E55B65" w:rsidP="00E55B65">
      <w:pPr>
        <w:spacing w:after="0" w:line="240" w:lineRule="auto"/>
        <w:ind w:left="1440" w:hanging="720"/>
        <w:rPr>
          <w:rFonts w:ascii="Arial" w:eastAsia="Times New Roman" w:hAnsi="Arial" w:cs="Arial"/>
          <w:i/>
          <w:sz w:val="20"/>
          <w:szCs w:val="20"/>
        </w:rPr>
      </w:pPr>
    </w:p>
    <w:p w:rsidR="00E55B65" w:rsidRPr="00E55B65" w:rsidRDefault="00E55B65" w:rsidP="00E55B65">
      <w:pPr>
        <w:numPr>
          <w:ilvl w:val="0"/>
          <w:numId w:val="4"/>
        </w:numPr>
        <w:spacing w:after="0" w:line="264" w:lineRule="auto"/>
        <w:ind w:left="1440"/>
        <w:rPr>
          <w:rFonts w:ascii="Arial" w:eastAsia="Times New Roman" w:hAnsi="Arial" w:cs="Arial"/>
          <w:color w:val="000000"/>
          <w:sz w:val="20"/>
          <w:szCs w:val="20"/>
        </w:rPr>
      </w:pPr>
      <w:r w:rsidRPr="00E55B65">
        <w:rPr>
          <w:rFonts w:ascii="Arial" w:eastAsia="Times New Roman" w:hAnsi="Arial" w:cs="Arial"/>
          <w:color w:val="000000"/>
          <w:sz w:val="20"/>
          <w:szCs w:val="20"/>
        </w:rPr>
        <w:lastRenderedPageBreak/>
        <w:t xml:space="preserve">Documents related to an attorney’s request for a trial or appellate court defense expert, </w:t>
      </w:r>
      <w:r w:rsidRPr="00E55B65">
        <w:rPr>
          <w:rFonts w:ascii="Arial" w:eastAsia="Times New Roman" w:hAnsi="Arial" w:cs="Arial"/>
          <w:sz w:val="20"/>
          <w:szCs w:val="20"/>
        </w:rPr>
        <w:t>investigator, or other services, any report or findings submitted to the attorney or court or judicial agency by the expert, investigator, or other service provider, and the invoicing of the expert, investigator or other service provider during the pendency of the case in any court.  Payment records are not exempt, provided that they do not include medical records, attorney work product, information protected by attorney-client privilege, information sealed by a court, or otherwise exempt information;</w:t>
      </w:r>
    </w:p>
    <w:p w:rsidR="00E55B65" w:rsidRPr="00E55B65" w:rsidRDefault="00E55B65" w:rsidP="00E55B65">
      <w:pPr>
        <w:spacing w:after="0" w:line="264" w:lineRule="auto"/>
        <w:ind w:left="720"/>
        <w:rPr>
          <w:rFonts w:ascii="Arial" w:eastAsia="Times New Roman" w:hAnsi="Arial" w:cs="Arial"/>
          <w:color w:val="000000"/>
          <w:sz w:val="20"/>
          <w:szCs w:val="20"/>
        </w:rPr>
      </w:pPr>
    </w:p>
    <w:p w:rsidR="00E55B65" w:rsidRPr="00E55B65" w:rsidRDefault="00E55B65" w:rsidP="00E55B65">
      <w:pPr>
        <w:numPr>
          <w:ilvl w:val="0"/>
          <w:numId w:val="4"/>
        </w:numPr>
        <w:spacing w:after="0" w:line="264" w:lineRule="auto"/>
        <w:ind w:left="1440"/>
        <w:rPr>
          <w:rFonts w:ascii="Arial" w:eastAsia="Times New Roman" w:hAnsi="Arial" w:cs="Arial"/>
          <w:color w:val="000000"/>
          <w:sz w:val="20"/>
          <w:szCs w:val="20"/>
        </w:rPr>
      </w:pPr>
      <w:r w:rsidRPr="00E55B65">
        <w:rPr>
          <w:rFonts w:ascii="Arial" w:eastAsia="Times New Roman" w:hAnsi="Arial" w:cs="Arial"/>
          <w:color w:val="000000"/>
          <w:sz w:val="20"/>
          <w:szCs w:val="20"/>
        </w:rPr>
        <w:t>Documents, records, files, investigative notes and reports, including the complaint and the identity of the complainant, associated with a court’s or judicial agency's internal investigation of a complaint against the court or judicial agency or its contractors during the course of the investigation.  The outcome of the court’s or judicial agency’s investigation is not exempt;</w:t>
      </w:r>
    </w:p>
    <w:p w:rsidR="00E55B65" w:rsidRPr="00E55B65" w:rsidRDefault="00E55B65" w:rsidP="00E55B65">
      <w:pPr>
        <w:spacing w:after="0" w:line="264" w:lineRule="auto"/>
        <w:ind w:left="720"/>
        <w:rPr>
          <w:rFonts w:ascii="Arial" w:eastAsia="Times New Roman" w:hAnsi="Arial" w:cs="Arial"/>
          <w:color w:val="000000"/>
          <w:sz w:val="20"/>
          <w:szCs w:val="20"/>
        </w:rPr>
      </w:pPr>
    </w:p>
    <w:p w:rsidR="00E55B65" w:rsidRPr="00E55B65" w:rsidRDefault="00E55B65" w:rsidP="00E55B65">
      <w:pPr>
        <w:numPr>
          <w:ilvl w:val="0"/>
          <w:numId w:val="4"/>
        </w:numPr>
        <w:spacing w:after="0"/>
        <w:ind w:left="1440"/>
        <w:rPr>
          <w:rFonts w:ascii="Arial" w:eastAsia="Calibri" w:hAnsi="Arial" w:cs="Arial"/>
          <w:sz w:val="20"/>
          <w:szCs w:val="20"/>
        </w:rPr>
      </w:pPr>
      <w:r w:rsidRPr="00E55B65">
        <w:rPr>
          <w:rFonts w:ascii="Arial" w:eastAsia="Calibri" w:hAnsi="Arial" w:cs="Arial"/>
          <w:sz w:val="20"/>
          <w:szCs w:val="20"/>
        </w:rPr>
        <w:t>[Reserved];</w:t>
      </w:r>
    </w:p>
    <w:p w:rsidR="00E55B65" w:rsidRPr="00E55B65" w:rsidRDefault="00E55B65" w:rsidP="00E55B65">
      <w:pPr>
        <w:spacing w:after="0"/>
        <w:ind w:left="720"/>
        <w:rPr>
          <w:rFonts w:ascii="Arial" w:eastAsia="Calibri" w:hAnsi="Arial" w:cs="Arial"/>
          <w:sz w:val="20"/>
          <w:szCs w:val="20"/>
        </w:rPr>
      </w:pPr>
    </w:p>
    <w:p w:rsidR="00E55B65" w:rsidRPr="00E55B65" w:rsidRDefault="00E55B65" w:rsidP="00E55B65">
      <w:pPr>
        <w:numPr>
          <w:ilvl w:val="0"/>
          <w:numId w:val="4"/>
        </w:numPr>
        <w:spacing w:after="0"/>
        <w:ind w:left="1440"/>
        <w:rPr>
          <w:rFonts w:ascii="Arial" w:eastAsia="Calibri" w:hAnsi="Arial" w:cs="Arial"/>
          <w:sz w:val="20"/>
          <w:szCs w:val="20"/>
        </w:rPr>
      </w:pPr>
      <w:r w:rsidRPr="00E55B65">
        <w:rPr>
          <w:rFonts w:ascii="Arial" w:eastAsia="Calibri" w:hAnsi="Arial" w:cs="Arial"/>
          <w:sz w:val="20"/>
          <w:szCs w:val="20"/>
        </w:rPr>
        <w:t xml:space="preserve">Family court mediation files; and </w:t>
      </w:r>
    </w:p>
    <w:p w:rsidR="00E55B65" w:rsidRPr="00E55B65" w:rsidRDefault="00E55B65" w:rsidP="00E55B65">
      <w:pPr>
        <w:spacing w:after="0"/>
        <w:ind w:left="720"/>
        <w:rPr>
          <w:rFonts w:ascii="Arial" w:eastAsia="Calibri" w:hAnsi="Arial" w:cs="Arial"/>
          <w:sz w:val="20"/>
          <w:szCs w:val="20"/>
        </w:rPr>
      </w:pPr>
    </w:p>
    <w:p w:rsidR="00E55B65" w:rsidRPr="00E55B65" w:rsidRDefault="00E55B65" w:rsidP="00E55B65">
      <w:pPr>
        <w:numPr>
          <w:ilvl w:val="0"/>
          <w:numId w:val="4"/>
        </w:numPr>
        <w:spacing w:after="0"/>
        <w:ind w:left="1440"/>
        <w:rPr>
          <w:rFonts w:ascii="Arial" w:eastAsia="Calibri" w:hAnsi="Arial" w:cs="Arial"/>
          <w:sz w:val="20"/>
          <w:szCs w:val="20"/>
        </w:rPr>
      </w:pPr>
      <w:r w:rsidRPr="00E55B65">
        <w:rPr>
          <w:rFonts w:ascii="Arial" w:eastAsia="Calibri" w:hAnsi="Arial" w:cs="Arial"/>
          <w:sz w:val="20"/>
          <w:szCs w:val="20"/>
        </w:rPr>
        <w:t xml:space="preserve">Juvenile court probation social files.  </w:t>
      </w:r>
    </w:p>
    <w:p w:rsidR="00E55B65" w:rsidRPr="00E55B65" w:rsidRDefault="00E55B65" w:rsidP="00E55B65">
      <w:pPr>
        <w:spacing w:after="0"/>
        <w:ind w:left="720"/>
        <w:rPr>
          <w:rFonts w:ascii="Arial" w:eastAsia="Calibri" w:hAnsi="Arial" w:cs="Arial"/>
          <w:sz w:val="20"/>
          <w:szCs w:val="20"/>
        </w:rPr>
      </w:pPr>
    </w:p>
    <w:p w:rsidR="00E55B65" w:rsidRPr="00E55B65" w:rsidRDefault="00E55B65" w:rsidP="00E55B65">
      <w:pPr>
        <w:spacing w:after="0" w:line="264" w:lineRule="auto"/>
        <w:ind w:left="1440" w:hanging="720"/>
        <w:rPr>
          <w:rFonts w:ascii="Arial" w:eastAsia="Times New Roman" w:hAnsi="Arial" w:cs="Arial"/>
          <w:sz w:val="20"/>
          <w:szCs w:val="20"/>
        </w:rPr>
      </w:pPr>
      <w:r w:rsidRPr="00E55B65">
        <w:rPr>
          <w:rFonts w:ascii="Arial" w:eastAsia="Times New Roman" w:hAnsi="Arial" w:cs="Arial"/>
          <w:sz w:val="20"/>
          <w:szCs w:val="20"/>
        </w:rPr>
        <w:t xml:space="preserve">(11) </w:t>
      </w:r>
      <w:r w:rsidRPr="00E55B65">
        <w:rPr>
          <w:rFonts w:ascii="Arial" w:eastAsia="Times New Roman" w:hAnsi="Arial" w:cs="Arial"/>
          <w:sz w:val="20"/>
          <w:szCs w:val="20"/>
        </w:rPr>
        <w:tab/>
        <w:t>Those portions of records containing specific and unique vulnerability assessments or specific and unique emergency and escape response plans, the disclosure of which would have a substantial likelihood of threatening the security of a judicial facility or any individual’s safety.</w:t>
      </w:r>
    </w:p>
    <w:p w:rsidR="00E55B65" w:rsidRPr="00E55B65" w:rsidRDefault="00E55B65" w:rsidP="00E55B65">
      <w:pPr>
        <w:spacing w:after="0" w:line="264" w:lineRule="auto"/>
        <w:ind w:left="1440" w:hanging="720"/>
        <w:rPr>
          <w:rFonts w:ascii="Arial" w:eastAsia="Times New Roman" w:hAnsi="Arial" w:cs="Arial"/>
          <w:sz w:val="20"/>
          <w:szCs w:val="20"/>
        </w:rPr>
      </w:pPr>
    </w:p>
    <w:p w:rsidR="00E55B65" w:rsidRPr="00E55B65" w:rsidRDefault="00E55B65" w:rsidP="00E55B65">
      <w:pPr>
        <w:spacing w:after="0" w:line="264" w:lineRule="auto"/>
        <w:ind w:left="1440" w:hanging="720"/>
        <w:rPr>
          <w:rFonts w:ascii="Arial" w:eastAsia="Times New Roman" w:hAnsi="Arial" w:cs="Arial"/>
          <w:sz w:val="20"/>
          <w:szCs w:val="20"/>
        </w:rPr>
      </w:pPr>
      <w:r w:rsidRPr="00E55B65">
        <w:rPr>
          <w:rFonts w:ascii="Arial" w:eastAsia="Times New Roman" w:hAnsi="Arial" w:cs="Arial"/>
          <w:sz w:val="20"/>
          <w:szCs w:val="20"/>
        </w:rPr>
        <w:t xml:space="preserve">(12)  </w:t>
      </w:r>
      <w:r w:rsidRPr="00E55B65">
        <w:rPr>
          <w:rFonts w:ascii="Arial" w:eastAsia="Times New Roman" w:hAnsi="Arial" w:cs="Arial"/>
          <w:sz w:val="20"/>
          <w:szCs w:val="20"/>
        </w:rPr>
        <w:tab/>
        <w:t>The following records of the Certified Professional Guardian Board:</w:t>
      </w:r>
    </w:p>
    <w:p w:rsidR="00E55B65" w:rsidRPr="00E55B65" w:rsidRDefault="00E55B65" w:rsidP="00E55B65">
      <w:pPr>
        <w:spacing w:after="0" w:line="264" w:lineRule="auto"/>
        <w:ind w:left="1440" w:hanging="720"/>
        <w:rPr>
          <w:rFonts w:ascii="Arial" w:eastAsia="Times New Roman" w:hAnsi="Arial" w:cs="Arial"/>
          <w:sz w:val="20"/>
          <w:szCs w:val="20"/>
        </w:rPr>
      </w:pPr>
    </w:p>
    <w:p w:rsidR="00E55B65" w:rsidRPr="00E55B65" w:rsidRDefault="00E55B65" w:rsidP="00E55B65">
      <w:pPr>
        <w:spacing w:after="0" w:line="264" w:lineRule="auto"/>
        <w:ind w:left="2160" w:hanging="720"/>
        <w:rPr>
          <w:rFonts w:ascii="Arial" w:eastAsia="Calibri" w:hAnsi="Arial" w:cs="Arial"/>
          <w:sz w:val="20"/>
          <w:szCs w:val="20"/>
        </w:rPr>
      </w:pPr>
      <w:r w:rsidRPr="00E55B65">
        <w:rPr>
          <w:rFonts w:ascii="Arial" w:eastAsia="Calibri" w:hAnsi="Arial" w:cs="Arial"/>
          <w:sz w:val="20"/>
          <w:szCs w:val="20"/>
        </w:rPr>
        <w:t>(</w:t>
      </w:r>
      <w:proofErr w:type="spellStart"/>
      <w:r w:rsidRPr="00E55B65">
        <w:rPr>
          <w:rFonts w:ascii="Arial" w:eastAsia="Calibri" w:hAnsi="Arial" w:cs="Arial"/>
          <w:sz w:val="20"/>
          <w:szCs w:val="20"/>
        </w:rPr>
        <w:t>i</w:t>
      </w:r>
      <w:proofErr w:type="spellEnd"/>
      <w:r w:rsidRPr="00E55B65">
        <w:rPr>
          <w:rFonts w:ascii="Arial" w:eastAsia="Calibri" w:hAnsi="Arial" w:cs="Arial"/>
          <w:sz w:val="20"/>
          <w:szCs w:val="20"/>
        </w:rPr>
        <w:t>)</w:t>
      </w:r>
      <w:r w:rsidRPr="00E55B65">
        <w:rPr>
          <w:rFonts w:ascii="Arial" w:eastAsia="Calibri" w:hAnsi="Arial" w:cs="Arial"/>
          <w:sz w:val="20"/>
          <w:szCs w:val="20"/>
        </w:rPr>
        <w:tab/>
        <w:t xml:space="preserve">Investigative records compiled by the Board as a result of an investigation conducted by the Board as part of the application process, while a disciplinary investigation is in process under the Board’s rules and regulations, or as a result of any other investigation conducted by the Board while an investigation is in process.  Investigative records related to a grievance become open to public inspection once the investigation is completed.  </w:t>
      </w:r>
    </w:p>
    <w:p w:rsidR="00E55B65" w:rsidRPr="00E55B65" w:rsidRDefault="00E55B65" w:rsidP="00E55B65">
      <w:pPr>
        <w:spacing w:after="0" w:line="264" w:lineRule="auto"/>
        <w:ind w:left="2160" w:hanging="720"/>
        <w:rPr>
          <w:rFonts w:ascii="Arial" w:eastAsia="Calibri" w:hAnsi="Arial" w:cs="Arial"/>
          <w:sz w:val="20"/>
          <w:szCs w:val="20"/>
        </w:rPr>
      </w:pPr>
    </w:p>
    <w:p w:rsidR="00E55B65" w:rsidRPr="00E55B65" w:rsidRDefault="00E55B65" w:rsidP="00E55B65">
      <w:pPr>
        <w:spacing w:after="0" w:line="264" w:lineRule="auto"/>
        <w:ind w:left="2160" w:hanging="720"/>
        <w:rPr>
          <w:rFonts w:ascii="Arial" w:eastAsia="Calibri" w:hAnsi="Arial" w:cs="Arial"/>
          <w:sz w:val="20"/>
          <w:szCs w:val="20"/>
        </w:rPr>
      </w:pPr>
      <w:r w:rsidRPr="00E55B65">
        <w:rPr>
          <w:rFonts w:ascii="Arial" w:eastAsia="Calibri" w:hAnsi="Arial" w:cs="Arial"/>
          <w:sz w:val="20"/>
          <w:szCs w:val="20"/>
        </w:rPr>
        <w:t>(ii)</w:t>
      </w:r>
      <w:r w:rsidRPr="00E55B65">
        <w:rPr>
          <w:rFonts w:ascii="Arial" w:eastAsia="Calibri" w:hAnsi="Arial" w:cs="Arial"/>
          <w:sz w:val="20"/>
          <w:szCs w:val="20"/>
        </w:rPr>
        <w:tab/>
        <w:t>Deliberative records compiled by the Board or a panel or committee of the Board as part of a disciplinary process.</w:t>
      </w:r>
    </w:p>
    <w:p w:rsidR="00E55B65" w:rsidRPr="00E55B65" w:rsidRDefault="00E55B65" w:rsidP="00E55B65">
      <w:pPr>
        <w:spacing w:after="0" w:line="264" w:lineRule="auto"/>
        <w:ind w:left="2160" w:hanging="720"/>
        <w:rPr>
          <w:rFonts w:ascii="Arial" w:eastAsia="Calibri" w:hAnsi="Arial" w:cs="Arial"/>
          <w:sz w:val="20"/>
          <w:szCs w:val="20"/>
        </w:rPr>
      </w:pPr>
    </w:p>
    <w:p w:rsidR="00E55B65" w:rsidRPr="00E55B65" w:rsidRDefault="00E55B65" w:rsidP="00E55B65">
      <w:pPr>
        <w:spacing w:after="0" w:line="264" w:lineRule="auto"/>
        <w:ind w:left="2160" w:hanging="720"/>
        <w:rPr>
          <w:rFonts w:ascii="Arial" w:eastAsia="Calibri" w:hAnsi="Arial" w:cs="Arial"/>
          <w:sz w:val="20"/>
          <w:szCs w:val="20"/>
        </w:rPr>
      </w:pPr>
      <w:r w:rsidRPr="00E55B65">
        <w:rPr>
          <w:rFonts w:ascii="Arial" w:eastAsia="Calibri" w:hAnsi="Arial" w:cs="Arial"/>
          <w:sz w:val="20"/>
          <w:szCs w:val="20"/>
        </w:rPr>
        <w:t xml:space="preserve">(iii)  </w:t>
      </w:r>
      <w:r w:rsidRPr="00E55B65">
        <w:rPr>
          <w:rFonts w:ascii="Arial" w:eastAsia="Calibri" w:hAnsi="Arial" w:cs="Arial"/>
          <w:sz w:val="20"/>
          <w:szCs w:val="20"/>
        </w:rPr>
        <w:tab/>
        <w:t xml:space="preserve">A grievance shall be open to public access, along with any response to the grievance submitted by the professional guardian or agency, once the investigation into the grievance has been completed or once a decision has been made that no investigation will be conducted.  The name of the professional guardian or agency shall not be redacted from the grievance.   </w:t>
      </w:r>
    </w:p>
    <w:p w:rsidR="00E55B65" w:rsidRPr="00E55B65" w:rsidRDefault="00E55B65" w:rsidP="00E55B65">
      <w:pPr>
        <w:spacing w:after="0" w:line="264" w:lineRule="auto"/>
        <w:jc w:val="both"/>
        <w:rPr>
          <w:rFonts w:ascii="Arial" w:eastAsia="Times New Roman" w:hAnsi="Arial" w:cs="Arial"/>
          <w:i/>
          <w:sz w:val="20"/>
          <w:szCs w:val="20"/>
        </w:rPr>
      </w:pPr>
      <w:bookmarkStart w:id="1" w:name="IE097992072B911DCABCEBAB614BA1C21"/>
      <w:bookmarkStart w:id="2" w:name="IE0891A3072B911DCABCEBAB614BA1C21"/>
      <w:bookmarkStart w:id="3" w:name="SP;340a00009b6f3"/>
      <w:bookmarkStart w:id="4" w:name="IE08FF80072B911DCABCEBAB614BA1C21"/>
      <w:bookmarkStart w:id="5" w:name="IE0887DF272B911DCABCEBAB614BA1C21"/>
      <w:bookmarkStart w:id="6" w:name="IE092690072B911DCABCEBAB614BA1C21"/>
      <w:bookmarkStart w:id="7" w:name="IE088A50572B911DCABCEBAB614BA1C21"/>
      <w:bookmarkEnd w:id="1"/>
      <w:bookmarkEnd w:id="2"/>
      <w:bookmarkEnd w:id="3"/>
      <w:bookmarkEnd w:id="4"/>
      <w:bookmarkEnd w:id="5"/>
      <w:bookmarkEnd w:id="6"/>
      <w:bookmarkEnd w:id="7"/>
    </w:p>
    <w:p w:rsidR="00E55B65" w:rsidRPr="00E55B65" w:rsidRDefault="00E55B65" w:rsidP="00E55B65">
      <w:pPr>
        <w:spacing w:after="0" w:line="240" w:lineRule="auto"/>
        <w:jc w:val="center"/>
        <w:rPr>
          <w:rFonts w:ascii="Arial" w:eastAsia="Times New Roman" w:hAnsi="Arial" w:cs="Arial"/>
          <w:b/>
          <w:i/>
          <w:sz w:val="20"/>
          <w:szCs w:val="20"/>
        </w:rPr>
      </w:pPr>
      <w:r w:rsidRPr="00E55B65">
        <w:rPr>
          <w:rFonts w:ascii="Arial" w:eastAsia="Times New Roman" w:hAnsi="Arial" w:cs="Arial"/>
          <w:b/>
          <w:i/>
          <w:sz w:val="20"/>
          <w:szCs w:val="20"/>
        </w:rPr>
        <w:t>CHAMBERS RECORDS</w:t>
      </w:r>
    </w:p>
    <w:p w:rsidR="00E55B65" w:rsidRPr="00E55B65" w:rsidRDefault="00E55B65" w:rsidP="00E55B65">
      <w:pPr>
        <w:spacing w:after="0" w:line="264" w:lineRule="auto"/>
        <w:jc w:val="both"/>
        <w:rPr>
          <w:rFonts w:ascii="Arial" w:eastAsia="Times New Roman" w:hAnsi="Arial" w:cs="Arial"/>
          <w:color w:val="000000"/>
          <w:sz w:val="20"/>
          <w:szCs w:val="20"/>
        </w:rPr>
      </w:pPr>
    </w:p>
    <w:p w:rsidR="00E55B65" w:rsidRPr="00E55B65" w:rsidRDefault="00E55B65" w:rsidP="00E55B65">
      <w:pPr>
        <w:spacing w:after="0" w:line="264" w:lineRule="auto"/>
        <w:rPr>
          <w:rFonts w:ascii="Arial" w:eastAsia="Times New Roman" w:hAnsi="Arial" w:cs="Arial"/>
          <w:sz w:val="20"/>
          <w:szCs w:val="20"/>
        </w:rPr>
      </w:pPr>
      <w:bookmarkStart w:id="8" w:name="SP;51e6000097e17"/>
      <w:bookmarkEnd w:id="8"/>
      <w:r w:rsidRPr="00E55B65">
        <w:rPr>
          <w:rFonts w:ascii="Arial" w:eastAsia="Times New Roman" w:hAnsi="Arial" w:cs="Arial"/>
          <w:b/>
          <w:color w:val="000000"/>
          <w:sz w:val="20"/>
          <w:szCs w:val="20"/>
        </w:rPr>
        <w:t xml:space="preserve">(m)  </w:t>
      </w:r>
      <w:r w:rsidRPr="00E55B65">
        <w:rPr>
          <w:rFonts w:ascii="Arial" w:eastAsia="Times New Roman" w:hAnsi="Arial" w:cs="Arial"/>
          <w:b/>
          <w:color w:val="000000"/>
          <w:sz w:val="20"/>
          <w:szCs w:val="20"/>
        </w:rPr>
        <w:tab/>
        <w:t xml:space="preserve">Chambers Records.  </w:t>
      </w:r>
      <w:r w:rsidRPr="00E55B65">
        <w:rPr>
          <w:rFonts w:ascii="Arial" w:eastAsia="Times New Roman" w:hAnsi="Arial" w:cs="Arial"/>
          <w:color w:val="000000"/>
          <w:sz w:val="20"/>
          <w:szCs w:val="20"/>
        </w:rPr>
        <w:t>Chambers records are not administrative records and are not subject to disclosure.</w:t>
      </w:r>
      <w:r w:rsidRPr="00E55B65">
        <w:rPr>
          <w:rFonts w:ascii="Arial" w:eastAsia="Times New Roman" w:hAnsi="Arial" w:cs="Arial"/>
          <w:sz w:val="20"/>
          <w:szCs w:val="20"/>
        </w:rPr>
        <w:t xml:space="preserve">  </w:t>
      </w:r>
    </w:p>
    <w:p w:rsidR="00E55B65" w:rsidRPr="00E55B65" w:rsidRDefault="00E55B65" w:rsidP="00E55B65">
      <w:pPr>
        <w:spacing w:after="0" w:line="264" w:lineRule="auto"/>
        <w:rPr>
          <w:rFonts w:ascii="Arial" w:eastAsia="Times New Roman" w:hAnsi="Arial" w:cs="Arial"/>
          <w:color w:val="000000"/>
          <w:sz w:val="20"/>
          <w:szCs w:val="20"/>
        </w:rPr>
      </w:pPr>
    </w:p>
    <w:p w:rsidR="00E55B65" w:rsidRPr="00E55B65" w:rsidRDefault="00E55B65" w:rsidP="00E55B65">
      <w:pPr>
        <w:spacing w:after="0" w:line="264" w:lineRule="auto"/>
        <w:ind w:left="1440"/>
        <w:rPr>
          <w:rFonts w:ascii="Times New Roman" w:eastAsia="Times New Roman" w:hAnsi="Times New Roman" w:cs="Times New Roman"/>
          <w:sz w:val="20"/>
          <w:szCs w:val="20"/>
        </w:rPr>
      </w:pPr>
      <w:r w:rsidRPr="00E55B65">
        <w:rPr>
          <w:rFonts w:ascii="Arial" w:eastAsia="Times New Roman" w:hAnsi="Arial" w:cs="Arial"/>
          <w:sz w:val="20"/>
          <w:szCs w:val="20"/>
        </w:rPr>
        <w:t xml:space="preserve">COMMENT: Access to chambers records could necessitate a judicial officer having to review all records to protect against disclosing case sensitive information or other information that would intrude on the </w:t>
      </w:r>
      <w:r w:rsidRPr="00E55B65">
        <w:rPr>
          <w:rFonts w:ascii="Times New Roman" w:eastAsia="Times New Roman" w:hAnsi="Times New Roman" w:cs="Times New Roman"/>
          <w:sz w:val="20"/>
          <w:szCs w:val="20"/>
        </w:rPr>
        <w:t xml:space="preserve">independence of judicial decision-making.  This would effectively make the judicial officer a de facto public records officer and could greatly interfere with judicial functions. </w:t>
      </w:r>
    </w:p>
    <w:p w:rsidR="00E55B65" w:rsidRPr="00E55B65" w:rsidRDefault="00E55B65" w:rsidP="00E55B65">
      <w:pPr>
        <w:spacing w:after="0" w:line="264" w:lineRule="auto"/>
        <w:ind w:left="720"/>
        <w:rPr>
          <w:rFonts w:ascii="Times New Roman" w:eastAsia="Times New Roman" w:hAnsi="Times New Roman" w:cs="Times New Roman"/>
          <w:i/>
          <w:sz w:val="20"/>
          <w:szCs w:val="20"/>
        </w:rPr>
      </w:pPr>
    </w:p>
    <w:p w:rsidR="00E55B65" w:rsidRPr="00E55B65" w:rsidRDefault="00E55B65" w:rsidP="00E55B65">
      <w:pPr>
        <w:numPr>
          <w:ilvl w:val="0"/>
          <w:numId w:val="5"/>
        </w:numPr>
        <w:spacing w:after="0" w:line="264" w:lineRule="auto"/>
        <w:rPr>
          <w:rFonts w:ascii="Times New Roman" w:eastAsia="Times New Roman" w:hAnsi="Times New Roman" w:cs="Times New Roman"/>
          <w:sz w:val="24"/>
          <w:szCs w:val="24"/>
        </w:rPr>
      </w:pPr>
      <w:r w:rsidRPr="00E55B65">
        <w:rPr>
          <w:rFonts w:ascii="Times New Roman" w:eastAsia="Times New Roman" w:hAnsi="Times New Roman" w:cs="Times New Roman"/>
          <w:sz w:val="24"/>
          <w:szCs w:val="24"/>
        </w:rPr>
        <w:t xml:space="preserve">“Chambers record” means any writing that is created by or maintained by any judicial officer or chambers staff, and is maintained under chambers control, whether directly related to an official judicial proceeding, the management of the court, or other chambers activities.  “Chambers staff” means a judicial officer’s law clerk, a judicial officer’s </w:t>
      </w:r>
      <w:r w:rsidRPr="00E55B65">
        <w:rPr>
          <w:rFonts w:ascii="Times New Roman" w:eastAsia="Times New Roman" w:hAnsi="Times New Roman" w:cs="Times New Roman"/>
          <w:sz w:val="24"/>
          <w:szCs w:val="24"/>
        </w:rPr>
        <w:lastRenderedPageBreak/>
        <w:t xml:space="preserve">administrative staff, and any other staff when providing support directly to the judicial officer at chambers. </w:t>
      </w:r>
    </w:p>
    <w:p w:rsidR="00E55B65" w:rsidRPr="00E55B65" w:rsidRDefault="00E55B65" w:rsidP="00E55B65">
      <w:pPr>
        <w:spacing w:after="0" w:line="264" w:lineRule="auto"/>
        <w:ind w:left="720"/>
        <w:rPr>
          <w:rFonts w:ascii="Times New Roman" w:eastAsia="Times New Roman" w:hAnsi="Times New Roman" w:cs="Times New Roman"/>
          <w:sz w:val="24"/>
          <w:szCs w:val="24"/>
        </w:rPr>
      </w:pPr>
    </w:p>
    <w:p w:rsidR="00E55B65" w:rsidRPr="00E55B65" w:rsidRDefault="00E55B65" w:rsidP="00E55B65">
      <w:pPr>
        <w:spacing w:after="0" w:line="264" w:lineRule="auto"/>
        <w:ind w:left="2160"/>
        <w:rPr>
          <w:rFonts w:ascii="Times New Roman" w:eastAsia="Times New Roman" w:hAnsi="Times New Roman" w:cs="Times New Roman"/>
          <w:sz w:val="20"/>
          <w:szCs w:val="20"/>
        </w:rPr>
      </w:pPr>
      <w:r w:rsidRPr="00E55B65">
        <w:rPr>
          <w:rFonts w:ascii="Times New Roman" w:eastAsia="Times New Roman" w:hAnsi="Times New Roman" w:cs="Times New Roman"/>
          <w:sz w:val="20"/>
          <w:szCs w:val="20"/>
        </w:rPr>
        <w:t xml:space="preserve">COMMENT: Some judicial employees, particularly in small jurisdictions, split their time between performing chambers duties and performing other court duties.  An employee may be “chambers staff” as to certain functions, but not as to others. Whether certain records are subject to disclosure may depend on whether the employee was acting in a chambers staff function or </w:t>
      </w:r>
      <w:proofErr w:type="gramStart"/>
      <w:r w:rsidRPr="00E55B65">
        <w:rPr>
          <w:rFonts w:ascii="Times New Roman" w:eastAsia="Times New Roman" w:hAnsi="Times New Roman" w:cs="Times New Roman"/>
          <w:sz w:val="20"/>
          <w:szCs w:val="20"/>
        </w:rPr>
        <w:t>an administrative staff function</w:t>
      </w:r>
      <w:proofErr w:type="gramEnd"/>
      <w:r w:rsidRPr="00E55B65">
        <w:rPr>
          <w:rFonts w:ascii="Times New Roman" w:eastAsia="Times New Roman" w:hAnsi="Times New Roman" w:cs="Times New Roman"/>
          <w:sz w:val="20"/>
          <w:szCs w:val="20"/>
        </w:rPr>
        <w:t xml:space="preserve"> with respect to that record. </w:t>
      </w:r>
    </w:p>
    <w:p w:rsidR="00E55B65" w:rsidRPr="00E55B65" w:rsidRDefault="00E55B65" w:rsidP="00E55B65">
      <w:pPr>
        <w:spacing w:after="0" w:line="264" w:lineRule="auto"/>
        <w:ind w:left="2160"/>
        <w:rPr>
          <w:rFonts w:ascii="Times New Roman" w:eastAsia="Times New Roman" w:hAnsi="Times New Roman" w:cs="Times New Roman"/>
          <w:sz w:val="20"/>
          <w:szCs w:val="20"/>
        </w:rPr>
      </w:pPr>
    </w:p>
    <w:p w:rsidR="00E55B65" w:rsidRPr="00E55B65" w:rsidRDefault="00E55B65" w:rsidP="00E55B65">
      <w:pPr>
        <w:spacing w:after="0" w:line="264" w:lineRule="auto"/>
        <w:ind w:left="2160"/>
        <w:rPr>
          <w:rFonts w:ascii="Times New Roman" w:eastAsia="Times New Roman" w:hAnsi="Times New Roman" w:cs="Times New Roman"/>
          <w:sz w:val="20"/>
          <w:szCs w:val="20"/>
        </w:rPr>
      </w:pPr>
      <w:r w:rsidRPr="00E55B65">
        <w:rPr>
          <w:rFonts w:ascii="Times New Roman" w:eastAsia="Times New Roman" w:hAnsi="Times New Roman" w:cs="Times New Roman"/>
          <w:sz w:val="20"/>
          <w:szCs w:val="20"/>
        </w:rPr>
        <w:t xml:space="preserve">Records may remain under chambers control even though they are stored elsewhere. </w:t>
      </w:r>
      <w:r w:rsidRPr="00E55B65">
        <w:rPr>
          <w:rFonts w:ascii="Times New Roman" w:eastAsia="Calibri" w:hAnsi="Times New Roman" w:cs="Times New Roman"/>
          <w:iCs/>
          <w:sz w:val="20"/>
          <w:szCs w:val="20"/>
        </w:rPr>
        <w:t xml:space="preserve">For example, records relating to chambers activities that are stored on a </w:t>
      </w:r>
      <w:proofErr w:type="gramStart"/>
      <w:r w:rsidRPr="00E55B65">
        <w:rPr>
          <w:rFonts w:ascii="Times New Roman" w:eastAsia="Calibri" w:hAnsi="Times New Roman" w:cs="Times New Roman"/>
          <w:iCs/>
          <w:sz w:val="20"/>
          <w:szCs w:val="20"/>
        </w:rPr>
        <w:t>judge’s</w:t>
      </w:r>
      <w:proofErr w:type="gramEnd"/>
      <w:r w:rsidRPr="00E55B65">
        <w:rPr>
          <w:rFonts w:ascii="Times New Roman" w:eastAsia="Calibri" w:hAnsi="Times New Roman" w:cs="Times New Roman"/>
          <w:iCs/>
          <w:sz w:val="20"/>
          <w:szCs w:val="20"/>
        </w:rPr>
        <w:t xml:space="preserve"> personally owned or workplace-assigned computer, laptop computer, cell phone, and similar electronic devices would still be chambers records. As a further example, records that are stored for a judicial chambers on external servers would still be under chambers control to the same extent as if the records were stored directly within the chambers.  </w:t>
      </w:r>
      <w:r w:rsidRPr="00E55B65">
        <w:rPr>
          <w:rFonts w:ascii="Times New Roman" w:eastAsia="Times New Roman" w:hAnsi="Times New Roman" w:cs="Times New Roman"/>
          <w:sz w:val="20"/>
          <w:szCs w:val="20"/>
        </w:rPr>
        <w:t>However, records that are otherwise subject to disclosure should not be allowed to be moved into chambers control as a means of avoiding disclosure.</w:t>
      </w:r>
    </w:p>
    <w:p w:rsidR="00E55B65" w:rsidRPr="00E55B65" w:rsidRDefault="00E55B65" w:rsidP="00E55B65">
      <w:pPr>
        <w:spacing w:after="0" w:line="264" w:lineRule="auto"/>
        <w:ind w:left="2160"/>
        <w:rPr>
          <w:rFonts w:ascii="Times New Roman" w:eastAsia="Times New Roman" w:hAnsi="Times New Roman" w:cs="Times New Roman"/>
          <w:sz w:val="20"/>
          <w:szCs w:val="20"/>
        </w:rPr>
      </w:pPr>
    </w:p>
    <w:p w:rsidR="00E55B65" w:rsidRPr="00E55B65" w:rsidRDefault="00E55B65" w:rsidP="00E55B65">
      <w:pPr>
        <w:numPr>
          <w:ilvl w:val="0"/>
          <w:numId w:val="5"/>
        </w:numPr>
        <w:spacing w:after="0" w:line="264" w:lineRule="auto"/>
        <w:rPr>
          <w:rFonts w:ascii="Times New Roman" w:eastAsia="Times New Roman" w:hAnsi="Times New Roman" w:cs="Times New Roman"/>
          <w:sz w:val="24"/>
          <w:szCs w:val="24"/>
        </w:rPr>
      </w:pPr>
      <w:r w:rsidRPr="00E55B65">
        <w:rPr>
          <w:rFonts w:ascii="Times New Roman" w:eastAsia="Times New Roman" w:hAnsi="Times New Roman" w:cs="Times New Roman"/>
          <w:sz w:val="24"/>
          <w:szCs w:val="24"/>
        </w:rPr>
        <w:t>Court records and administrative records do not become chambers records merely because they are in the possession or custody of a judicial officer or chambers staff.</w:t>
      </w:r>
    </w:p>
    <w:p w:rsidR="00E55B65" w:rsidRPr="00E55B65" w:rsidRDefault="00E55B65" w:rsidP="00E55B65">
      <w:pPr>
        <w:spacing w:after="0" w:line="264" w:lineRule="auto"/>
        <w:ind w:left="720"/>
        <w:rPr>
          <w:rFonts w:ascii="Times New Roman" w:eastAsia="Times New Roman" w:hAnsi="Times New Roman" w:cs="Times New Roman"/>
          <w:color w:val="000000"/>
          <w:sz w:val="24"/>
          <w:szCs w:val="24"/>
        </w:rPr>
      </w:pPr>
    </w:p>
    <w:p w:rsidR="00E55B65" w:rsidRPr="00E55B65" w:rsidRDefault="00E55B65" w:rsidP="00E55B65">
      <w:pPr>
        <w:spacing w:after="0" w:line="264" w:lineRule="auto"/>
        <w:ind w:left="2160"/>
        <w:rPr>
          <w:rFonts w:ascii="Times New Roman" w:eastAsia="Times New Roman" w:hAnsi="Times New Roman" w:cs="Times New Roman"/>
          <w:sz w:val="20"/>
          <w:szCs w:val="20"/>
        </w:rPr>
      </w:pPr>
      <w:r w:rsidRPr="00E55B65">
        <w:rPr>
          <w:rFonts w:ascii="Times New Roman" w:eastAsia="Times New Roman" w:hAnsi="Times New Roman" w:cs="Times New Roman"/>
          <w:sz w:val="20"/>
          <w:szCs w:val="20"/>
        </w:rPr>
        <w:t xml:space="preserve">COMMENT: Chambers records do not change in character by virtue of being accessible to </w:t>
      </w:r>
      <w:proofErr w:type="gramStart"/>
      <w:r w:rsidRPr="00E55B65">
        <w:rPr>
          <w:rFonts w:ascii="Times New Roman" w:eastAsia="Times New Roman" w:hAnsi="Times New Roman" w:cs="Times New Roman"/>
          <w:sz w:val="20"/>
          <w:szCs w:val="20"/>
        </w:rPr>
        <w:t>another chambers</w:t>
      </w:r>
      <w:proofErr w:type="gramEnd"/>
      <w:r w:rsidRPr="00E55B65">
        <w:rPr>
          <w:rFonts w:ascii="Times New Roman" w:eastAsia="Times New Roman" w:hAnsi="Times New Roman" w:cs="Times New Roman"/>
          <w:sz w:val="20"/>
          <w:szCs w:val="20"/>
        </w:rPr>
        <w:t>.   For example, a data base that is shared by multiple judges and their chambers staff is a “chambers record” for purposes of this rule, as long as the data base is only being used by judges and their chambers staff.</w:t>
      </w:r>
    </w:p>
    <w:p w:rsidR="00DA2311" w:rsidRPr="009727AB" w:rsidRDefault="00DA2311" w:rsidP="00DA2311">
      <w:pPr>
        <w:spacing w:after="0" w:line="264" w:lineRule="auto"/>
        <w:rPr>
          <w:rFonts w:ascii="Arial" w:hAnsi="Arial" w:cs="Arial"/>
          <w:sz w:val="20"/>
          <w:szCs w:val="20"/>
        </w:rPr>
      </w:pPr>
    </w:p>
    <w:sectPr w:rsidR="00DA2311" w:rsidRPr="009727AB" w:rsidSect="00033062">
      <w:footerReference w:type="default" r:id="rId8"/>
      <w:pgSz w:w="12240" w:h="15840"/>
      <w:pgMar w:top="806" w:right="1080" w:bottom="72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2451" w:rsidRDefault="00FF2451" w:rsidP="00EB5719">
      <w:pPr>
        <w:spacing w:after="0" w:line="240" w:lineRule="auto"/>
      </w:pPr>
      <w:r>
        <w:separator/>
      </w:r>
    </w:p>
  </w:endnote>
  <w:endnote w:type="continuationSeparator" w:id="0">
    <w:p w:rsidR="00FF2451" w:rsidRDefault="00FF2451" w:rsidP="00EB57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6586" w:rsidRPr="009727AB" w:rsidRDefault="00E55B65">
    <w:pPr>
      <w:pStyle w:val="Footer"/>
      <w:rPr>
        <w:rFonts w:ascii="Arial" w:hAnsi="Arial" w:cs="Arial"/>
        <w:sz w:val="20"/>
        <w:szCs w:val="20"/>
      </w:rPr>
    </w:pPr>
    <w:r>
      <w:rPr>
        <w:rFonts w:ascii="Arial" w:hAnsi="Arial" w:cs="Arial"/>
        <w:sz w:val="20"/>
        <w:szCs w:val="20"/>
      </w:rPr>
      <w:t>Records Exempted or Prohibited from Disclosure</w:t>
    </w:r>
    <w:r w:rsidR="00033062" w:rsidRPr="009727AB">
      <w:rPr>
        <w:rFonts w:ascii="Arial" w:hAnsi="Arial" w:cs="Arial"/>
        <w:sz w:val="20"/>
        <w:szCs w:val="20"/>
      </w:rPr>
      <w:t xml:space="preserve"> (1</w:t>
    </w:r>
    <w:r w:rsidR="009727AB">
      <w:rPr>
        <w:rFonts w:ascii="Arial" w:hAnsi="Arial" w:cs="Arial"/>
        <w:sz w:val="20"/>
        <w:szCs w:val="20"/>
      </w:rPr>
      <w:t>/201</w:t>
    </w:r>
    <w:r w:rsidR="00033062" w:rsidRPr="009727AB">
      <w:rPr>
        <w:rFonts w:ascii="Arial" w:hAnsi="Arial" w:cs="Arial"/>
        <w:sz w:val="20"/>
        <w:szCs w:val="20"/>
      </w:rPr>
      <w:t xml:space="preserve">6) </w:t>
    </w:r>
    <w:r w:rsidR="009727AB">
      <w:rPr>
        <w:rFonts w:ascii="Arial" w:hAnsi="Arial" w:cs="Arial"/>
        <w:sz w:val="20"/>
        <w:szCs w:val="20"/>
      </w:rPr>
      <w:tab/>
    </w:r>
    <w:r w:rsidR="009727AB" w:rsidRPr="009727AB">
      <w:rPr>
        <w:rFonts w:ascii="Arial" w:hAnsi="Arial" w:cs="Arial"/>
        <w:sz w:val="20"/>
        <w:szCs w:val="20"/>
      </w:rPr>
      <w:t xml:space="preserve">Page </w:t>
    </w:r>
    <w:r w:rsidR="009727AB" w:rsidRPr="009727AB">
      <w:rPr>
        <w:rFonts w:ascii="Arial" w:hAnsi="Arial" w:cs="Arial"/>
        <w:b/>
        <w:sz w:val="20"/>
        <w:szCs w:val="20"/>
      </w:rPr>
      <w:fldChar w:fldCharType="begin"/>
    </w:r>
    <w:r w:rsidR="009727AB" w:rsidRPr="009727AB">
      <w:rPr>
        <w:rFonts w:ascii="Arial" w:hAnsi="Arial" w:cs="Arial"/>
        <w:b/>
        <w:sz w:val="20"/>
        <w:szCs w:val="20"/>
      </w:rPr>
      <w:instrText xml:space="preserve"> PAGE  \* Arabic  \* MERGEFORMAT </w:instrText>
    </w:r>
    <w:r w:rsidR="009727AB" w:rsidRPr="009727AB">
      <w:rPr>
        <w:rFonts w:ascii="Arial" w:hAnsi="Arial" w:cs="Arial"/>
        <w:b/>
        <w:sz w:val="20"/>
        <w:szCs w:val="20"/>
      </w:rPr>
      <w:fldChar w:fldCharType="separate"/>
    </w:r>
    <w:r>
      <w:rPr>
        <w:rFonts w:ascii="Arial" w:hAnsi="Arial" w:cs="Arial"/>
        <w:b/>
        <w:noProof/>
        <w:sz w:val="20"/>
        <w:szCs w:val="20"/>
      </w:rPr>
      <w:t>2</w:t>
    </w:r>
    <w:r w:rsidR="009727AB" w:rsidRPr="009727AB">
      <w:rPr>
        <w:rFonts w:ascii="Arial" w:hAnsi="Arial" w:cs="Arial"/>
        <w:b/>
        <w:sz w:val="20"/>
        <w:szCs w:val="20"/>
      </w:rPr>
      <w:fldChar w:fldCharType="end"/>
    </w:r>
    <w:r w:rsidR="009727AB" w:rsidRPr="009727AB">
      <w:rPr>
        <w:rFonts w:ascii="Arial" w:hAnsi="Arial" w:cs="Arial"/>
        <w:sz w:val="20"/>
        <w:szCs w:val="20"/>
      </w:rPr>
      <w:t xml:space="preserve"> of </w:t>
    </w:r>
    <w:r w:rsidR="009727AB" w:rsidRPr="009727AB">
      <w:rPr>
        <w:rFonts w:ascii="Arial" w:hAnsi="Arial" w:cs="Arial"/>
        <w:b/>
        <w:sz w:val="20"/>
        <w:szCs w:val="20"/>
      </w:rPr>
      <w:fldChar w:fldCharType="begin"/>
    </w:r>
    <w:r w:rsidR="009727AB" w:rsidRPr="009727AB">
      <w:rPr>
        <w:rFonts w:ascii="Arial" w:hAnsi="Arial" w:cs="Arial"/>
        <w:b/>
        <w:sz w:val="20"/>
        <w:szCs w:val="20"/>
      </w:rPr>
      <w:instrText xml:space="preserve"> NUMPAGES  \* Arabic  \* MERGEFORMAT </w:instrText>
    </w:r>
    <w:r w:rsidR="009727AB" w:rsidRPr="009727AB">
      <w:rPr>
        <w:rFonts w:ascii="Arial" w:hAnsi="Arial" w:cs="Arial"/>
        <w:b/>
        <w:sz w:val="20"/>
        <w:szCs w:val="20"/>
      </w:rPr>
      <w:fldChar w:fldCharType="separate"/>
    </w:r>
    <w:r>
      <w:rPr>
        <w:rFonts w:ascii="Arial" w:hAnsi="Arial" w:cs="Arial"/>
        <w:b/>
        <w:noProof/>
        <w:sz w:val="20"/>
        <w:szCs w:val="20"/>
      </w:rPr>
      <w:t>3</w:t>
    </w:r>
    <w:r w:rsidR="009727AB" w:rsidRPr="009727AB">
      <w:rPr>
        <w:rFonts w:ascii="Arial" w:hAnsi="Arial" w:cs="Arial"/>
        <w:b/>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2451" w:rsidRDefault="00FF2451" w:rsidP="00EB5719">
      <w:pPr>
        <w:spacing w:after="0" w:line="240" w:lineRule="auto"/>
      </w:pPr>
      <w:r>
        <w:separator/>
      </w:r>
    </w:p>
  </w:footnote>
  <w:footnote w:type="continuationSeparator" w:id="0">
    <w:p w:rsidR="00FF2451" w:rsidRDefault="00FF2451" w:rsidP="00EB571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D438C5"/>
    <w:multiLevelType w:val="hybridMultilevel"/>
    <w:tmpl w:val="E0E2F7F4"/>
    <w:lvl w:ilvl="0" w:tplc="A7F4B34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04958F2"/>
    <w:multiLevelType w:val="hybridMultilevel"/>
    <w:tmpl w:val="CEA8A84A"/>
    <w:lvl w:ilvl="0" w:tplc="A7D04764">
      <w:start w:val="1"/>
      <w:numFmt w:val="decimal"/>
      <w:lvlText w:val="(%1)"/>
      <w:lvlJc w:val="left"/>
      <w:pPr>
        <w:ind w:left="1350" w:hanging="360"/>
      </w:pPr>
      <w:rPr>
        <w:rFonts w:hint="default"/>
      </w:rPr>
    </w:lvl>
    <w:lvl w:ilvl="1" w:tplc="04090019">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
    <w:nsid w:val="3F723F92"/>
    <w:multiLevelType w:val="hybridMultilevel"/>
    <w:tmpl w:val="63F8797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657A4B58"/>
    <w:multiLevelType w:val="hybridMultilevel"/>
    <w:tmpl w:val="4B9858E2"/>
    <w:lvl w:ilvl="0" w:tplc="106EBFA2">
      <w:start w:val="1"/>
      <w:numFmt w:val="decimal"/>
      <w:lvlText w:val="(%1)"/>
      <w:lvlJc w:val="left"/>
      <w:pPr>
        <w:ind w:left="1488" w:hanging="768"/>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7534117F"/>
    <w:multiLevelType w:val="hybridMultilevel"/>
    <w:tmpl w:val="C778F72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2"/>
  </w:num>
  <w:num w:numId="3">
    <w:abstractNumId w:val="4"/>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2"/>
  </w:compat>
  <w:rsids>
    <w:rsidRoot w:val="00B94855"/>
    <w:rsid w:val="00033062"/>
    <w:rsid w:val="00036E67"/>
    <w:rsid w:val="000A14DB"/>
    <w:rsid w:val="000B65BC"/>
    <w:rsid w:val="000D5E44"/>
    <w:rsid w:val="00116094"/>
    <w:rsid w:val="00117833"/>
    <w:rsid w:val="00161894"/>
    <w:rsid w:val="00194E4A"/>
    <w:rsid w:val="001B4A8B"/>
    <w:rsid w:val="001D2D22"/>
    <w:rsid w:val="002840F6"/>
    <w:rsid w:val="00296704"/>
    <w:rsid w:val="002B3603"/>
    <w:rsid w:val="003102F3"/>
    <w:rsid w:val="00326201"/>
    <w:rsid w:val="0032696B"/>
    <w:rsid w:val="00327F9D"/>
    <w:rsid w:val="00380843"/>
    <w:rsid w:val="003E21A6"/>
    <w:rsid w:val="003E7632"/>
    <w:rsid w:val="00407D75"/>
    <w:rsid w:val="00464B7F"/>
    <w:rsid w:val="00482199"/>
    <w:rsid w:val="004C6586"/>
    <w:rsid w:val="0050459A"/>
    <w:rsid w:val="00541B9D"/>
    <w:rsid w:val="005638A1"/>
    <w:rsid w:val="00577207"/>
    <w:rsid w:val="00603C59"/>
    <w:rsid w:val="00654636"/>
    <w:rsid w:val="006A78F5"/>
    <w:rsid w:val="006C3710"/>
    <w:rsid w:val="007412A5"/>
    <w:rsid w:val="00772A3D"/>
    <w:rsid w:val="008168F5"/>
    <w:rsid w:val="008B1CC4"/>
    <w:rsid w:val="008D0846"/>
    <w:rsid w:val="00971F08"/>
    <w:rsid w:val="009727AB"/>
    <w:rsid w:val="0097784C"/>
    <w:rsid w:val="00993DD9"/>
    <w:rsid w:val="009C04AC"/>
    <w:rsid w:val="00A16D66"/>
    <w:rsid w:val="00A17404"/>
    <w:rsid w:val="00A77ADF"/>
    <w:rsid w:val="00A92DB3"/>
    <w:rsid w:val="00A93039"/>
    <w:rsid w:val="00A93A5A"/>
    <w:rsid w:val="00B94855"/>
    <w:rsid w:val="00BA0A79"/>
    <w:rsid w:val="00C25CA4"/>
    <w:rsid w:val="00C31B6A"/>
    <w:rsid w:val="00C76DFC"/>
    <w:rsid w:val="00C9210D"/>
    <w:rsid w:val="00C93106"/>
    <w:rsid w:val="00CA15A9"/>
    <w:rsid w:val="00CA4CD7"/>
    <w:rsid w:val="00CB24CF"/>
    <w:rsid w:val="00CD22E2"/>
    <w:rsid w:val="00D016F7"/>
    <w:rsid w:val="00D133B9"/>
    <w:rsid w:val="00D17FD0"/>
    <w:rsid w:val="00D20733"/>
    <w:rsid w:val="00D55D0E"/>
    <w:rsid w:val="00D7275D"/>
    <w:rsid w:val="00D732DF"/>
    <w:rsid w:val="00D9106F"/>
    <w:rsid w:val="00DA2311"/>
    <w:rsid w:val="00E15CBC"/>
    <w:rsid w:val="00E51477"/>
    <w:rsid w:val="00E537B3"/>
    <w:rsid w:val="00E55B65"/>
    <w:rsid w:val="00E62909"/>
    <w:rsid w:val="00E723EC"/>
    <w:rsid w:val="00EB5719"/>
    <w:rsid w:val="00EC63A7"/>
    <w:rsid w:val="00ED3E1D"/>
    <w:rsid w:val="00FA5BC9"/>
    <w:rsid w:val="00FF16F1"/>
    <w:rsid w:val="00FF24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4B7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54636"/>
    <w:pPr>
      <w:ind w:left="720"/>
      <w:contextualSpacing/>
    </w:pPr>
  </w:style>
  <w:style w:type="paragraph" w:styleId="Header">
    <w:name w:val="header"/>
    <w:basedOn w:val="Normal"/>
    <w:link w:val="HeaderChar"/>
    <w:uiPriority w:val="99"/>
    <w:unhideWhenUsed/>
    <w:rsid w:val="00EB5719"/>
    <w:pPr>
      <w:tabs>
        <w:tab w:val="center" w:pos="4680"/>
        <w:tab w:val="right" w:pos="9360"/>
      </w:tabs>
      <w:spacing w:after="0" w:line="240" w:lineRule="auto"/>
    </w:pPr>
  </w:style>
  <w:style w:type="character" w:customStyle="1" w:styleId="HeaderChar">
    <w:name w:val="Header Char"/>
    <w:basedOn w:val="DefaultParagraphFont"/>
    <w:link w:val="Header"/>
    <w:uiPriority w:val="99"/>
    <w:rsid w:val="00EB5719"/>
  </w:style>
  <w:style w:type="paragraph" w:styleId="Footer">
    <w:name w:val="footer"/>
    <w:basedOn w:val="Normal"/>
    <w:link w:val="FooterChar"/>
    <w:uiPriority w:val="99"/>
    <w:unhideWhenUsed/>
    <w:rsid w:val="00EB5719"/>
    <w:pPr>
      <w:tabs>
        <w:tab w:val="center" w:pos="4680"/>
        <w:tab w:val="right" w:pos="9360"/>
      </w:tabs>
      <w:spacing w:after="0" w:line="240" w:lineRule="auto"/>
    </w:pPr>
  </w:style>
  <w:style w:type="character" w:customStyle="1" w:styleId="FooterChar">
    <w:name w:val="Footer Char"/>
    <w:basedOn w:val="DefaultParagraphFont"/>
    <w:link w:val="Footer"/>
    <w:uiPriority w:val="99"/>
    <w:rsid w:val="00EB5719"/>
  </w:style>
  <w:style w:type="character" w:styleId="CommentReference">
    <w:name w:val="annotation reference"/>
    <w:basedOn w:val="DefaultParagraphFont"/>
    <w:uiPriority w:val="99"/>
    <w:semiHidden/>
    <w:unhideWhenUsed/>
    <w:rsid w:val="002B3603"/>
    <w:rPr>
      <w:sz w:val="16"/>
      <w:szCs w:val="16"/>
    </w:rPr>
  </w:style>
  <w:style w:type="paragraph" w:styleId="CommentText">
    <w:name w:val="annotation text"/>
    <w:basedOn w:val="Normal"/>
    <w:link w:val="CommentTextChar"/>
    <w:uiPriority w:val="99"/>
    <w:semiHidden/>
    <w:unhideWhenUsed/>
    <w:rsid w:val="002B3603"/>
    <w:pPr>
      <w:spacing w:line="240" w:lineRule="auto"/>
    </w:pPr>
    <w:rPr>
      <w:sz w:val="20"/>
      <w:szCs w:val="20"/>
    </w:rPr>
  </w:style>
  <w:style w:type="character" w:customStyle="1" w:styleId="CommentTextChar">
    <w:name w:val="Comment Text Char"/>
    <w:basedOn w:val="DefaultParagraphFont"/>
    <w:link w:val="CommentText"/>
    <w:uiPriority w:val="99"/>
    <w:semiHidden/>
    <w:rsid w:val="002B3603"/>
    <w:rPr>
      <w:sz w:val="20"/>
      <w:szCs w:val="20"/>
    </w:rPr>
  </w:style>
  <w:style w:type="paragraph" w:styleId="CommentSubject">
    <w:name w:val="annotation subject"/>
    <w:basedOn w:val="CommentText"/>
    <w:next w:val="CommentText"/>
    <w:link w:val="CommentSubjectChar"/>
    <w:uiPriority w:val="99"/>
    <w:semiHidden/>
    <w:unhideWhenUsed/>
    <w:rsid w:val="002B3603"/>
    <w:rPr>
      <w:b/>
      <w:bCs/>
    </w:rPr>
  </w:style>
  <w:style w:type="character" w:customStyle="1" w:styleId="CommentSubjectChar">
    <w:name w:val="Comment Subject Char"/>
    <w:basedOn w:val="CommentTextChar"/>
    <w:link w:val="CommentSubject"/>
    <w:uiPriority w:val="99"/>
    <w:semiHidden/>
    <w:rsid w:val="002B3603"/>
    <w:rPr>
      <w:b/>
      <w:bCs/>
      <w:sz w:val="20"/>
      <w:szCs w:val="20"/>
    </w:rPr>
  </w:style>
  <w:style w:type="paragraph" w:styleId="BalloonText">
    <w:name w:val="Balloon Text"/>
    <w:basedOn w:val="Normal"/>
    <w:link w:val="BalloonTextChar"/>
    <w:uiPriority w:val="99"/>
    <w:semiHidden/>
    <w:unhideWhenUsed/>
    <w:rsid w:val="002B360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3603"/>
    <w:rPr>
      <w:rFonts w:ascii="Tahoma" w:hAnsi="Tahoma" w:cs="Tahoma"/>
      <w:sz w:val="16"/>
      <w:szCs w:val="16"/>
    </w:rPr>
  </w:style>
  <w:style w:type="paragraph" w:styleId="Revision">
    <w:name w:val="Revision"/>
    <w:hidden/>
    <w:uiPriority w:val="99"/>
    <w:semiHidden/>
    <w:rsid w:val="00A77ADF"/>
    <w:pPr>
      <w:spacing w:after="0" w:line="240" w:lineRule="auto"/>
    </w:pPr>
  </w:style>
  <w:style w:type="paragraph" w:styleId="NormalWeb">
    <w:name w:val="Normal (Web)"/>
    <w:basedOn w:val="Normal"/>
    <w:uiPriority w:val="99"/>
    <w:semiHidden/>
    <w:unhideWhenUsed/>
    <w:rsid w:val="00CA4CD7"/>
    <w:pPr>
      <w:spacing w:before="100" w:beforeAutospacing="1" w:after="100" w:afterAutospacing="1" w:line="240" w:lineRule="auto"/>
    </w:pPr>
    <w:rPr>
      <w:rFonts w:ascii="Times New Roman" w:eastAsiaTheme="minorEastAsia" w:hAnsi="Times New Roman" w:cs="Times New Roman"/>
      <w:sz w:val="24"/>
      <w:szCs w:val="24"/>
    </w:rPr>
  </w:style>
  <w:style w:type="character" w:styleId="Hyperlink">
    <w:name w:val="Hyperlink"/>
    <w:basedOn w:val="DefaultParagraphFont"/>
    <w:uiPriority w:val="99"/>
    <w:unhideWhenUsed/>
    <w:rsid w:val="003E21A6"/>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1261</Words>
  <Characters>7193</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City of Port Orchard</Company>
  <LinksUpToDate>false</LinksUpToDate>
  <CharactersWithSpaces>8438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Paulette Revoir</dc:creator>
  <cp:lastModifiedBy>ColbergS</cp:lastModifiedBy>
  <cp:revision>2</cp:revision>
  <cp:lastPrinted>2015-12-10T21:40:00Z</cp:lastPrinted>
  <dcterms:created xsi:type="dcterms:W3CDTF">2016-01-21T23:29:00Z</dcterms:created>
  <dcterms:modified xsi:type="dcterms:W3CDTF">2016-01-21T23:29:00Z</dcterms:modified>
</cp:coreProperties>
</file>